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10"/>
          <w:szCs w:val="10"/>
        </w:rPr>
      </w:pPr>
      <w:r/>
      <w:commentRangeStart w:id="0"/>
      <w:r>
        <w:rPr>
          <w:b/>
          <w:sz w:val="72"/>
          <w:szCs w:val="72"/>
          <w:rtl w:val="0"/>
        </w:rPr>
        <w:t xml:space="preserve"> FICHE ACTION VNE N°2</w:t>
      </w:r>
      <w:commentRangeEnd w:id="0"/>
      <w:r>
        <w:commentReference w:id="0"/>
      </w:r>
      <w:r>
        <w:rPr>
          <w:b/>
          <w:sz w:val="10"/>
          <w:szCs w:val="10"/>
        </w:rPr>
      </w:r>
      <w:r>
        <w:rPr>
          <w:b/>
          <w:sz w:val="10"/>
          <w:szCs w:val="10"/>
        </w:rPr>
      </w:r>
    </w:p>
    <w:tbl>
      <w:tblPr>
        <w:tblStyle w:val="911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221400"/>
                      <wp:effectExtent l="0" t="0" r="0" b="0"/>
                      <wp:docPr id="1" name="image1.jp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jp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2214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17.43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e63946"/>
              </w:rPr>
            </w:pPr>
            <w:r>
              <w:rPr>
                <w:shd w:val="clear" w:color="auto" w:fill="e63946"/>
                <w:rtl w:val="0"/>
              </w:rPr>
              <w:t xml:space="preserve">AXE I</w:t>
            </w:r>
            <w:r>
              <w:rPr>
                <w:shd w:val="clear" w:color="auto" w:fill="e63946"/>
              </w:rPr>
            </w:r>
            <w:r>
              <w:rPr>
                <w:shd w:val="clear" w:color="auto" w:fill="e63946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2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f1c40f"/>
              </w:rPr>
            </w:pPr>
            <w:r>
              <w:rPr>
                <w:shd w:val="clear" w:color="auto" w:fill="f1c40f"/>
                <w:rtl w:val="0"/>
              </w:rPr>
              <w:t xml:space="preserve">AXE III</w:t>
            </w:r>
            <w:r>
              <w:rPr>
                <w:shd w:val="clear" w:color="auto" w:fill="f1c40f"/>
              </w:rPr>
            </w:r>
            <w:r>
              <w:rPr>
                <w:shd w:val="clear" w:color="auto" w:fill="f1c40f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Fiche déjà initiée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Finaliser et fiabiliser les diagnostics territoriaux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Portage territorial (</w:t>
            </w:r>
            <w:r>
              <w:rPr>
                <w:rtl w:val="0"/>
              </w:rPr>
              <w:t xml:space="preserve">Chargés de coopération CTG) </w:t>
            </w:r>
            <w:r>
              <w:rPr>
                <w:rtl w:val="0"/>
              </w:rPr>
              <w:t xml:space="preserve">; subsidiarité : CD 83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PARTENAIRES/ACTEURS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Acteurs territoriaux de l’inclusion numérique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SCORE QUESTIONNAIRE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32 ; Top 15</w:t>
            </w:r>
            <w:r/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Les diagnostics territoriaux de VNE modélisés par des cartes d’identités par EPCI sont de niveaux de précision variables en fonction de la disponibilité de l’EPCI </w:t>
            </w:r>
            <w:r/>
            <w:r/>
          </w:p>
          <w:p>
            <w:pPr>
              <w:pBdr/>
              <w:spacing w:after="0" w:before="0" w:line="240" w:lineRule="auto"/>
              <w:ind/>
              <w:jc w:val="both"/>
              <w:rPr/>
            </w:pPr>
            <w:r>
              <w:rPr>
                <w:rtl w:val="0"/>
              </w:rPr>
              <w:t xml:space="preserve">Afin d’améliorer ces états des lieux et d’obtenir des </w:t>
            </w:r>
            <w:r>
              <w:rPr>
                <w:rtl w:val="0"/>
              </w:rPr>
              <w:t xml:space="preserve">indicateurs de suivi et d’orientation de VNE adaptés à chaque territoire </w:t>
            </w:r>
            <w:r>
              <w:rPr>
                <w:rtl w:val="0"/>
              </w:rPr>
              <w:t xml:space="preserve">, ce travail doit être approfondi </w:t>
            </w:r>
            <w:r>
              <w:rPr>
                <w:rtl w:val="0"/>
              </w:rPr>
              <w:t xml:space="preserve"> en lien avec les chargés de coopération CTG qui se chargeront d’être les coordinateurs et relais à l'échelle EPCI. </w:t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t xml:space="preserve">Établir une métrique permettant d’évaluer le niveau d’adéquation sur le territoire entre offre et besoin.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RÉPONSE À DEMANDE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14 - Accompagner et former les acteurs territoriaux au pilotage de la politique d'inclusion numérique par la donnée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4 : Avec l'appui de la MedNum et des Hubs , généraliser un système de cartographie locale de l'exclusion numérique correspondant au périmètre de chaque conférence départementale des financeurs.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11 : Généraliser la réalisation de cartographies locales de l'exclusion numérique et des acteurs de l'inclusion numérique sur l'ensemble du territoire, avec l'appui de la MedNum et des Hubs si nécessaire.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Organiser </w:t>
            </w:r>
            <w:r>
              <w:rPr>
                <w:rtl w:val="0"/>
              </w:rPr>
              <w:t xml:space="preserve">au moins une réunion par EPCI ou commune</w:t>
            </w:r>
            <w:r/>
          </w:p>
          <w:p>
            <w:pPr>
              <w:numPr>
                <w:ilvl w:val="0"/>
                <w:numId w:val="6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Valider les cartes d’identité produites avec les chargés de CTG et les élus (faire évoluer sur nécessaire)</w:t>
            </w:r>
            <w:r/>
          </w:p>
          <w:p>
            <w:pPr>
              <w:numPr>
                <w:ilvl w:val="1"/>
                <w:numId w:val="6"/>
              </w:numPr>
              <w:pBdr/>
              <w:spacing/>
              <w:ind w:hanging="360" w:left="1440"/>
              <w:rPr/>
            </w:pPr>
            <w:r>
              <w:rPr>
                <w:rtl w:val="0"/>
              </w:rPr>
              <w:t xml:space="preserve">Carte d’identité</w:t>
            </w:r>
            <w:r/>
          </w:p>
          <w:p>
            <w:pPr>
              <w:numPr>
                <w:ilvl w:val="1"/>
                <w:numId w:val="6"/>
              </w:numPr>
              <w:pBdr/>
              <w:spacing/>
              <w:ind w:hanging="360" w:left="1440"/>
              <w:rPr/>
            </w:pPr>
            <w:r>
              <w:rPr>
                <w:rtl w:val="0"/>
              </w:rPr>
              <w:t xml:space="preserve">Cartographie</w:t>
            </w:r>
            <w:r/>
          </w:p>
          <w:p>
            <w:pPr>
              <w:numPr>
                <w:ilvl w:val="1"/>
                <w:numId w:val="6"/>
              </w:numPr>
              <w:pBdr/>
              <w:spacing/>
              <w:ind w:hanging="360" w:left="1440"/>
              <w:rPr/>
            </w:pPr>
            <w:r>
              <w:rPr>
                <w:rtl w:val="0"/>
              </w:rPr>
              <w:t xml:space="preserve">Diagramme de Venn</w:t>
            </w:r>
            <w:r/>
          </w:p>
          <w:p>
            <w:pPr>
              <w:numPr>
                <w:ilvl w:val="0"/>
                <w:numId w:val="6"/>
              </w:numPr>
              <w:pBdr/>
              <w:spacing/>
              <w:ind/>
              <w:rPr/>
            </w:pPr>
            <w:r>
              <w:rPr>
                <w:highlight w:val="none"/>
                <w:rtl w:val="0"/>
              </w:rPr>
              <w:t xml:space="preserve">Base de données cohérente avec soliguide</w:t>
            </w:r>
            <w:r>
              <w:rPr>
                <w:highlight w:val="none"/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Dans le cadre de l’enric</w:t>
            </w:r>
            <w:r>
              <w:rPr>
                <w:rtl w:val="0"/>
              </w:rPr>
              <w:t xml:space="preserve">hissement de la feuille de route prévue sur 3 mois et dans le prolongement du travail d’état des lieux initié depuis le 03/02/2025, il est nécessaire d’approfondir le travail réalisé afin de baser les propositions d’action sur les réalités des territoires.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Dans la continuité des modalités actuelles, le coordinateur des CoNum continuera de participer à des rencontres dans les EPCI à travers les CTG durant lesquelles seront mis à jour : </w:t>
            </w:r>
            <w:r/>
          </w:p>
          <w:p>
            <w:pPr>
              <w:numPr>
                <w:ilvl w:val="0"/>
                <w:numId w:val="7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Les cartes d’identité issues de l'agrégation des BDD, de l’étude des CTG et des échanges avec les acteurs territoriaux</w:t>
            </w:r>
            <w:r/>
          </w:p>
          <w:p>
            <w:pPr>
              <w:numPr>
                <w:ilvl w:val="0"/>
                <w:numId w:val="7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Les cartographies</w:t>
            </w:r>
            <w:r/>
          </w:p>
          <w:p>
            <w:pPr>
              <w:numPr>
                <w:ilvl w:val="0"/>
                <w:numId w:val="7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/>
            </w:pPr>
            <w:r>
              <w:rPr>
                <w:rtl w:val="0"/>
              </w:rPr>
              <w:t xml:space="preserve">Les diagrammes de Venn traduisant le positionnement des acteurs territoriaux de l’inclusion numérique dans les champs d’actions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commentRangeStart w:id="1"/>
            <w:r>
              <w:rPr>
                <w:rtl w:val="0"/>
              </w:rPr>
              <w:t xml:space="preserve">Ces éléments seront ensuite transmis aux élus pour validation et insertion définitive dans la feuille de route.</w:t>
            </w:r>
            <w:commentRangeEnd w:id="1"/>
            <w:r>
              <w:commentReference w:id="1"/>
            </w:r>
            <w:r/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Dans un second temps, la création d’un KPI h/hab/an permettra d’obtenir une vision, par territoire, de la disponibilité des services de formation au numérique.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commentRangeStart w:id="2"/>
            <w:r>
              <w:rPr>
                <w:rtl w:val="0"/>
              </w:rPr>
              <w:t xml:space="preserve">Ce travail demandant certaines comp</w:t>
            </w:r>
            <w:commentRangeEnd w:id="2"/>
            <w:r>
              <w:commentReference w:id="2"/>
            </w:r>
            <w:r/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9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Mise en place des rencontres</w:t>
            </w:r>
            <w:r/>
          </w:p>
          <w:p>
            <w:pPr>
              <w:numPr>
                <w:ilvl w:val="0"/>
                <w:numId w:val="9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Tenue des rencontres pour </w:t>
            </w:r>
            <w:commentRangeStart w:id="3"/>
            <w:r>
              <w:rPr>
                <w:rtl w:val="0"/>
              </w:rPr>
              <w:t xml:space="preserve">alimentation en données</w:t>
            </w:r>
            <w:commentRangeEnd w:id="3"/>
            <w:r>
              <w:commentReference w:id="3"/>
            </w:r>
            <w:r/>
            <w:r/>
          </w:p>
          <w:p>
            <w:pPr>
              <w:numPr>
                <w:ilvl w:val="0"/>
                <w:numId w:val="9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 Échanges avec le relais terrain pour validation</w:t>
            </w:r>
            <w:r/>
          </w:p>
          <w:p>
            <w:pPr>
              <w:numPr>
                <w:ilvl w:val="0"/>
                <w:numId w:val="9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</w:r>
            <w:commentRangeStart w:id="4"/>
            <w:r>
              <w:rPr>
                <w:rtl w:val="0"/>
              </w:rPr>
              <w:t xml:space="preserve">Transmission aux élus pour validation définitive</w:t>
            </w:r>
            <w:r/>
          </w:p>
          <w:p>
            <w:pPr>
              <w:numPr>
                <w:ilvl w:val="0"/>
                <w:numId w:val="9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Intégration dans la feuille de route</w:t>
            </w:r>
            <w:commentRangeEnd w:id="4"/>
            <w:r>
              <w:commentReference w:id="4"/>
            </w:r>
            <w:r/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8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3"/>
              </w:numPr>
              <w:pBdr/>
              <w:spacing/>
              <w:ind w:hanging="360" w:left="425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 DÉBUT: 24/06/25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Bdr/>
              <w:spacing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         FIN : 01/10/25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département du Var à l’échelle intercommunale et communale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Tous les acteurs territoriaux de l’inclusion numérique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Cartographies de l'inclusion numérique complètes (tant que possible)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Remplissage de Soliguide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KPI heure/hab/an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Chargé de CTG + coordinateur CoNum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Besoin d’une salle si IRL</w:t>
            </w:r>
            <w:r/>
          </w:p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Matériel PC si visio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indicateur heure/hab/an par EPCI (ou commune)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carto réalisées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ArcGIS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/>
            <w:commentRangeStart w:id="5"/>
            <w:r>
              <w:rPr>
                <w:rtl w:val="0"/>
              </w:rPr>
              <w:t xml:space="preserve">Exemple de cartographie finale</w:t>
            </w:r>
            <w:commentRangeEnd w:id="5"/>
            <w:r>
              <w:commentReference w:id="5"/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Maintenir ces données dans le temps pour mesurer l’impact, d’année en année, des actions de pérennisation des offres de médiation numérique.</w:t>
            </w:r>
            <w:r/>
          </w:p>
          <w:p>
            <w:pPr>
              <w:pBdr/>
              <w:spacing w:after="0" w:before="0" w:line="240" w:lineRule="auto"/>
              <w:ind/>
              <w:rPr>
                <w:highlight w:val="none"/>
              </w:rPr>
            </w:pPr>
            <w:r>
              <w:rPr>
                <w:rtl w:val="0"/>
              </w:rPr>
              <w:t xml:space="preserve">Peut être une première partie d’une cartographie de l’inclusion numérique qui comprendrait l’accès aux matériel, l’accès à de la médiation numérique et le développement de compétences ++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highlight w:val="none"/>
                <w:rtl w:val="0"/>
              </w:rPr>
              <w:t xml:space="preserve">08/10/2025 : L’observatoire des compétences numériques de PIX est sorti de terre : c’est une opportunité à saisir, bien que leurs objectifs diffèrent des nôtres.</w:t>
            </w:r>
            <w:r>
              <w:rPr>
                <w:highlight w:val="none"/>
                <w:rtl w:val="0"/>
              </w:rPr>
            </w:r>
            <w:r/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Valentin BOUSSET" w:date="2025-08-06T08:29:27Z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lien vers la carto "h/hab/an"</w:t>
      </w:r>
    </w:p>
  </w:comment>
  <w:comment w:id="4" w:author="Jean-Pierre SEVAL" w:date="2025-10-10T15:06:37Z" w:initials="JS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dans la mesure ou ce sera mis à jour en continu cela ne me semble pas utile</w:t>
      </w:r>
    </w:p>
  </w:comment>
  <w:comment w:id="3" w:author="Jean-Pierre SEVAL" w:date="2025-10-10T15:07:12Z" w:initials="JS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de quoi?</w:t>
      </w:r>
    </w:p>
  </w:comment>
  <w:comment w:id="2" w:author="Jean-Pierre SEVAL" w:date="2025-10-10T14:38:55Z" w:initials="JS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pas fini</w:t>
      </w:r>
    </w:p>
  </w:comment>
  <w:comment w:id="1" w:author="Jean-Pierre SEVAL" w:date="2025-10-10T15:08:38Z" w:initials="JS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pas utile à mon sens puisque c'est màj en continu</w:t>
      </w:r>
    </w:p>
  </w:comment>
  <w:comment w:id="0" w:author="Valentin BOUSSET" w:date="2025-10-03T10:08:00Z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Observatoire des compétences PIX. Rater cette occasion serait dommageable à l'ambition VNE.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  <w15:commentEx w15:paraId="00000003" w15:done="0"/>
  <w15:commentEx w15:paraId="00000004" w15:done="0"/>
  <w15:commentEx w15:paraId="00000005" w15:done="0"/>
  <w15:commentEx w15:paraId="0000000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855D619" w16cex:dateUtc="2025-10-10T13:06:37Z"/>
  <w16cex:commentExtensible w16cex:durableId="568A0D28" w16cex:dateUtc="2025-10-10T13:07:12Z"/>
  <w16cex:commentExtensible w16cex:durableId="5AF1D27D" w16cex:dateUtc="2025-10-10T12:38:55Z"/>
  <w16cex:commentExtensible w16cex:durableId="53577B3B" w16cex:dateUtc="2025-10-10T13:08:3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A8A0F0A"/>
  <w16cid:commentId w16cid:paraId="00000002" w16cid:durableId="1855D619"/>
  <w16cid:commentId w16cid:paraId="00000003" w16cid:durableId="568A0D28"/>
  <w16cid:commentId w16cid:paraId="00000004" w16cid:durableId="5AF1D27D"/>
  <w16cid:commentId w16cid:paraId="00000005" w16cid:durableId="53577B3B"/>
  <w16cid:commentId w16cid:paraId="00000006" w16cid:durableId="7C3F9B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8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an-Pierre SEVAL">
    <w15:presenceInfo w15:providerId="Teamlab" w15:userId="resana.numerique.gouv.A12011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"/>
    <w:basedOn w:val="72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Table Grid Light"/>
    <w:basedOn w:val="7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1"/>
    <w:basedOn w:val="7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2"/>
    <w:basedOn w:val="7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1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2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3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4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5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6"/>
    <w:basedOn w:val="7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1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2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3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4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5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6"/>
    <w:basedOn w:val="7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1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2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3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4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5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6"/>
    <w:basedOn w:val="7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8">
    <w:name w:val="Heading 7"/>
    <w:basedOn w:val="902"/>
    <w:next w:val="902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9">
    <w:name w:val="Heading 8"/>
    <w:basedOn w:val="902"/>
    <w:next w:val="902"/>
    <w:link w:val="86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Heading 9"/>
    <w:basedOn w:val="902"/>
    <w:next w:val="902"/>
    <w:link w:val="86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default="1">
    <w:name w:val="Default Paragraph Font"/>
    <w:uiPriority w:val="1"/>
    <w:semiHidden/>
    <w:unhideWhenUsed/>
    <w:pPr>
      <w:pBdr/>
      <w:spacing/>
      <w:ind/>
    </w:pPr>
  </w:style>
  <w:style w:type="numbering" w:styleId="852" w:default="1">
    <w:name w:val="No List"/>
    <w:uiPriority w:val="99"/>
    <w:semiHidden/>
    <w:unhideWhenUsed/>
    <w:pPr>
      <w:pBdr/>
      <w:spacing/>
      <w:ind/>
    </w:pPr>
  </w:style>
  <w:style w:type="character" w:styleId="853">
    <w:name w:val="Heading 1 Char"/>
    <w:basedOn w:val="851"/>
    <w:link w:val="9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4">
    <w:name w:val="Heading 2 Char"/>
    <w:basedOn w:val="851"/>
    <w:link w:val="9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5">
    <w:name w:val="Heading 3 Char"/>
    <w:basedOn w:val="851"/>
    <w:link w:val="9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6">
    <w:name w:val="Heading 4 Char"/>
    <w:basedOn w:val="851"/>
    <w:link w:val="90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7">
    <w:name w:val="Heading 5 Char"/>
    <w:basedOn w:val="851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8">
    <w:name w:val="Heading 6 Char"/>
    <w:basedOn w:val="851"/>
    <w:link w:val="90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9">
    <w:name w:val="Heading 7 Char"/>
    <w:basedOn w:val="851"/>
    <w:link w:val="84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0">
    <w:name w:val="Heading 8 Char"/>
    <w:basedOn w:val="85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1">
    <w:name w:val="Heading 9 Char"/>
    <w:basedOn w:val="851"/>
    <w:link w:val="85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2">
    <w:name w:val="Title Char"/>
    <w:basedOn w:val="851"/>
    <w:link w:val="90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63">
    <w:name w:val="Subtitle Char"/>
    <w:basedOn w:val="851"/>
    <w:link w:val="91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4">
    <w:name w:val="Quote"/>
    <w:basedOn w:val="902"/>
    <w:next w:val="902"/>
    <w:link w:val="86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5">
    <w:name w:val="Quote Char"/>
    <w:basedOn w:val="851"/>
    <w:link w:val="86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6">
    <w:name w:val="List Paragraph"/>
    <w:basedOn w:val="902"/>
    <w:uiPriority w:val="34"/>
    <w:qFormat/>
    <w:pPr>
      <w:pBdr/>
      <w:spacing/>
      <w:ind w:left="720"/>
      <w:contextualSpacing w:val="true"/>
    </w:pPr>
  </w:style>
  <w:style w:type="character" w:styleId="867">
    <w:name w:val="Intense Emphasis"/>
    <w:basedOn w:val="85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8">
    <w:name w:val="Intense Quote"/>
    <w:basedOn w:val="902"/>
    <w:next w:val="902"/>
    <w:link w:val="86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9">
    <w:name w:val="Intense Quote Char"/>
    <w:basedOn w:val="851"/>
    <w:link w:val="86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0">
    <w:name w:val="Intense Reference"/>
    <w:basedOn w:val="85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1">
    <w:name w:val="No Spacing"/>
    <w:basedOn w:val="902"/>
    <w:uiPriority w:val="1"/>
    <w:qFormat/>
    <w:pPr>
      <w:pBdr/>
      <w:spacing w:after="0" w:line="240" w:lineRule="auto"/>
      <w:ind/>
    </w:pPr>
  </w:style>
  <w:style w:type="character" w:styleId="872">
    <w:name w:val="Subtle Emphasis"/>
    <w:basedOn w:val="85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Emphasis"/>
    <w:basedOn w:val="851"/>
    <w:uiPriority w:val="20"/>
    <w:qFormat/>
    <w:pPr>
      <w:pBdr/>
      <w:spacing/>
      <w:ind/>
    </w:pPr>
    <w:rPr>
      <w:i/>
      <w:iCs/>
    </w:rPr>
  </w:style>
  <w:style w:type="character" w:styleId="874">
    <w:name w:val="Strong"/>
    <w:basedOn w:val="851"/>
    <w:uiPriority w:val="22"/>
    <w:qFormat/>
    <w:pPr>
      <w:pBdr/>
      <w:spacing/>
      <w:ind/>
    </w:pPr>
    <w:rPr>
      <w:b/>
      <w:bCs/>
    </w:rPr>
  </w:style>
  <w:style w:type="character" w:styleId="875">
    <w:name w:val="Subtle Reference"/>
    <w:basedOn w:val="85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6">
    <w:name w:val="Book Title"/>
    <w:basedOn w:val="85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7">
    <w:name w:val="Header"/>
    <w:basedOn w:val="902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Header Char"/>
    <w:basedOn w:val="851"/>
    <w:link w:val="877"/>
    <w:uiPriority w:val="99"/>
    <w:pPr>
      <w:pBdr/>
      <w:spacing/>
      <w:ind/>
    </w:pPr>
  </w:style>
  <w:style w:type="paragraph" w:styleId="879">
    <w:name w:val="Footer"/>
    <w:basedOn w:val="902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Footer Char"/>
    <w:basedOn w:val="851"/>
    <w:link w:val="879"/>
    <w:uiPriority w:val="99"/>
    <w:pPr>
      <w:pBdr/>
      <w:spacing/>
      <w:ind/>
    </w:pPr>
  </w:style>
  <w:style w:type="paragraph" w:styleId="881">
    <w:name w:val="Caption"/>
    <w:basedOn w:val="902"/>
    <w:next w:val="9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2">
    <w:name w:val="footnote text"/>
    <w:basedOn w:val="902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Footnote Text Char"/>
    <w:basedOn w:val="851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foot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paragraph" w:styleId="885">
    <w:name w:val="endnote text"/>
    <w:basedOn w:val="902"/>
    <w:link w:val="88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6">
    <w:name w:val="Endnote Text Char"/>
    <w:basedOn w:val="851"/>
    <w:link w:val="885"/>
    <w:uiPriority w:val="99"/>
    <w:semiHidden/>
    <w:pPr>
      <w:pBdr/>
      <w:spacing/>
      <w:ind/>
    </w:pPr>
    <w:rPr>
      <w:sz w:val="20"/>
      <w:szCs w:val="20"/>
    </w:rPr>
  </w:style>
  <w:style w:type="character" w:styleId="887">
    <w:name w:val="endnote reference"/>
    <w:basedOn w:val="851"/>
    <w:uiPriority w:val="99"/>
    <w:semiHidden/>
    <w:unhideWhenUsed/>
    <w:pPr>
      <w:pBdr/>
      <w:spacing/>
      <w:ind/>
    </w:pPr>
    <w:rPr>
      <w:vertAlign w:val="superscript"/>
    </w:rPr>
  </w:style>
  <w:style w:type="character" w:styleId="888">
    <w:name w:val="Hyperlink"/>
    <w:basedOn w:val="85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9">
    <w:name w:val="FollowedHyperlink"/>
    <w:basedOn w:val="85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0">
    <w:name w:val="toc 1"/>
    <w:basedOn w:val="902"/>
    <w:next w:val="902"/>
    <w:uiPriority w:val="39"/>
    <w:unhideWhenUsed/>
    <w:pPr>
      <w:pBdr/>
      <w:spacing w:after="100"/>
      <w:ind/>
    </w:pPr>
  </w:style>
  <w:style w:type="paragraph" w:styleId="891">
    <w:name w:val="toc 2"/>
    <w:basedOn w:val="902"/>
    <w:next w:val="902"/>
    <w:uiPriority w:val="39"/>
    <w:unhideWhenUsed/>
    <w:pPr>
      <w:pBdr/>
      <w:spacing w:after="100"/>
      <w:ind w:left="220"/>
    </w:pPr>
  </w:style>
  <w:style w:type="paragraph" w:styleId="892">
    <w:name w:val="toc 3"/>
    <w:basedOn w:val="902"/>
    <w:next w:val="902"/>
    <w:uiPriority w:val="39"/>
    <w:unhideWhenUsed/>
    <w:pPr>
      <w:pBdr/>
      <w:spacing w:after="100"/>
      <w:ind w:left="440"/>
    </w:pPr>
  </w:style>
  <w:style w:type="paragraph" w:styleId="893">
    <w:name w:val="toc 4"/>
    <w:basedOn w:val="902"/>
    <w:next w:val="902"/>
    <w:uiPriority w:val="39"/>
    <w:unhideWhenUsed/>
    <w:pPr>
      <w:pBdr/>
      <w:spacing w:after="100"/>
      <w:ind w:left="660"/>
    </w:pPr>
  </w:style>
  <w:style w:type="paragraph" w:styleId="894">
    <w:name w:val="toc 5"/>
    <w:basedOn w:val="902"/>
    <w:next w:val="902"/>
    <w:uiPriority w:val="39"/>
    <w:unhideWhenUsed/>
    <w:pPr>
      <w:pBdr/>
      <w:spacing w:after="100"/>
      <w:ind w:left="880"/>
    </w:pPr>
  </w:style>
  <w:style w:type="paragraph" w:styleId="895">
    <w:name w:val="toc 6"/>
    <w:basedOn w:val="902"/>
    <w:next w:val="902"/>
    <w:uiPriority w:val="39"/>
    <w:unhideWhenUsed/>
    <w:pPr>
      <w:pBdr/>
      <w:spacing w:after="100"/>
      <w:ind w:left="1100"/>
    </w:pPr>
  </w:style>
  <w:style w:type="paragraph" w:styleId="896">
    <w:name w:val="toc 7"/>
    <w:basedOn w:val="902"/>
    <w:next w:val="902"/>
    <w:uiPriority w:val="39"/>
    <w:unhideWhenUsed/>
    <w:pPr>
      <w:pBdr/>
      <w:spacing w:after="100"/>
      <w:ind w:left="1320"/>
    </w:pPr>
  </w:style>
  <w:style w:type="paragraph" w:styleId="897">
    <w:name w:val="toc 8"/>
    <w:basedOn w:val="902"/>
    <w:next w:val="902"/>
    <w:uiPriority w:val="39"/>
    <w:unhideWhenUsed/>
    <w:pPr>
      <w:pBdr/>
      <w:spacing w:after="100"/>
      <w:ind w:left="1540"/>
    </w:pPr>
  </w:style>
  <w:style w:type="paragraph" w:styleId="898">
    <w:name w:val="toc 9"/>
    <w:basedOn w:val="902"/>
    <w:next w:val="902"/>
    <w:uiPriority w:val="39"/>
    <w:unhideWhenUsed/>
    <w:pPr>
      <w:pBdr/>
      <w:spacing w:after="100"/>
      <w:ind w:left="1760"/>
    </w:pPr>
  </w:style>
  <w:style w:type="paragraph" w:styleId="899">
    <w:name w:val="TOC Heading"/>
    <w:uiPriority w:val="39"/>
    <w:unhideWhenUsed/>
    <w:pPr>
      <w:pBdr/>
      <w:spacing/>
      <w:ind/>
    </w:pPr>
  </w:style>
  <w:style w:type="paragraph" w:styleId="900">
    <w:name w:val="table of figures"/>
    <w:basedOn w:val="902"/>
    <w:next w:val="902"/>
    <w:uiPriority w:val="99"/>
    <w:unhideWhenUsed/>
    <w:pPr>
      <w:pBdr/>
      <w:spacing w:after="0" w:afterAutospacing="0"/>
      <w:ind/>
    </w:pPr>
  </w:style>
  <w:style w:type="table" w:styleId="901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 w:default="1">
    <w:name w:val="Normal"/>
    <w:pPr>
      <w:pBdr/>
      <w:spacing/>
      <w:ind/>
    </w:pPr>
  </w:style>
  <w:style w:type="paragraph" w:styleId="903">
    <w:name w:val="Heading 1"/>
    <w:basedOn w:val="902"/>
    <w:next w:val="902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904">
    <w:name w:val="Heading 2"/>
    <w:basedOn w:val="902"/>
    <w:next w:val="902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905">
    <w:name w:val="Heading 3"/>
    <w:basedOn w:val="902"/>
    <w:next w:val="902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906">
    <w:name w:val="Heading 4"/>
    <w:basedOn w:val="902"/>
    <w:next w:val="902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907">
    <w:name w:val="Heading 5"/>
    <w:basedOn w:val="902"/>
    <w:next w:val="902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908">
    <w:name w:val="Heading 6"/>
    <w:basedOn w:val="902"/>
    <w:next w:val="902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909">
    <w:name w:val="Title"/>
    <w:basedOn w:val="902"/>
    <w:next w:val="902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910">
    <w:name w:val="Subtitle"/>
    <w:basedOn w:val="902"/>
    <w:next w:val="902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911">
    <w:name w:val="StGen0"/>
    <w:basedOn w:val="901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comments" Target="comments.xml" /><Relationship Id="rId11" Type="http://schemas.microsoft.com/office/2011/relationships/commentsExtended" Target="commentsExtended.xml" /><Relationship Id="rId12" Type="http://schemas.microsoft.com/office/2018/08/relationships/commentsExtensible" Target="commentsExtensible.xml" /><Relationship Id="rId13" Type="http://schemas.microsoft.com/office/2016/09/relationships/commentsIds" Target="commentsIds.xml" /><Relationship Id="rId1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 BOUSSET</cp:lastModifiedBy>
  <cp:revision>3</cp:revision>
  <dcterms:modified xsi:type="dcterms:W3CDTF">2025-10-10T14:52:19Z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